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63" w:type="dxa"/>
        <w:tblInd w:w="108" w:type="dxa"/>
        <w:tblLayout w:type="fixed"/>
        <w:tblLook w:val="0000"/>
      </w:tblPr>
      <w:tblGrid>
        <w:gridCol w:w="1560"/>
        <w:gridCol w:w="6600"/>
        <w:gridCol w:w="1303"/>
      </w:tblGrid>
      <w:tr w:rsidR="00A0476B">
        <w:trPr>
          <w:trHeight w:val="1704"/>
        </w:trPr>
        <w:tc>
          <w:tcPr>
            <w:tcW w:w="1560" w:type="dxa"/>
            <w:vAlign w:val="center"/>
          </w:tcPr>
          <w:p w:rsidR="00A0476B" w:rsidRDefault="00A0476B">
            <w:pPr>
              <w:snapToGrid w:val="0"/>
              <w:jc w:val="center"/>
              <w:rPr>
                <w:sz w:val="20"/>
                <w:szCs w:val="18"/>
              </w:rPr>
            </w:pPr>
          </w:p>
          <w:p w:rsidR="00A0476B" w:rsidRDefault="00A047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D16D4">
              <w:rPr>
                <w:rFonts w:ascii="Albertus Medium" w:hAnsi="Albertus Medium"/>
                <w:b/>
                <w:sz w:val="20"/>
              </w:rPr>
              <w:object w:dxaOrig="7244" w:dyaOrig="7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 fillcolor="window">
                  <v:imagedata r:id="rId7" o:title=""/>
                </v:shape>
                <o:OLEObject Type="Embed" ProgID="PBrush" ShapeID="_x0000_i1025" DrawAspect="Content" ObjectID="_1548582366" r:id="rId8"/>
              </w:object>
            </w:r>
          </w:p>
        </w:tc>
        <w:tc>
          <w:tcPr>
            <w:tcW w:w="6600" w:type="dxa"/>
            <w:vAlign w:val="bottom"/>
          </w:tcPr>
          <w:p w:rsidR="00A0476B" w:rsidRDefault="00A0476B">
            <w:pPr>
              <w:snapToGrid w:val="0"/>
              <w:jc w:val="both"/>
              <w:rPr>
                <w:sz w:val="20"/>
              </w:rPr>
            </w:pPr>
          </w:p>
          <w:p w:rsidR="00A0476B" w:rsidRDefault="00A0476B">
            <w:pPr>
              <w:pStyle w:val="Ttulo8"/>
              <w:rPr>
                <w:sz w:val="20"/>
              </w:rPr>
            </w:pPr>
            <w:r>
              <w:rPr>
                <w:sz w:val="20"/>
              </w:rPr>
              <w:t>Serviço Público Federal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Universidade Federal de Goiás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do Pessoal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Coordenação Financeira de Pessoal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Prédio da Reitoria – Campus II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 74.0001-970 – Goiânia – GO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Telefone: (62) 3521-1053 / 1812 / 1813 / 1388 / 1300</w:t>
            </w:r>
          </w:p>
        </w:tc>
        <w:tc>
          <w:tcPr>
            <w:tcW w:w="1303" w:type="dxa"/>
            <w:vAlign w:val="center"/>
          </w:tcPr>
          <w:p w:rsidR="00A0476B" w:rsidRDefault="00241C0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552450" cy="7143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76B" w:rsidRDefault="00A0476B">
      <w:pPr>
        <w:jc w:val="both"/>
        <w:rPr>
          <w:b/>
          <w:sz w:val="20"/>
        </w:rPr>
      </w:pPr>
    </w:p>
    <w:p w:rsidR="00A0476B" w:rsidRPr="00364D20" w:rsidRDefault="00F91C0F">
      <w:pPr>
        <w:suppressAutoHyphens w:val="0"/>
        <w:spacing w:line="360" w:lineRule="auto"/>
        <w:jc w:val="both"/>
        <w:rPr>
          <w:sz w:val="22"/>
          <w:szCs w:val="22"/>
        </w:rPr>
      </w:pPr>
      <w:r w:rsidRPr="00364D20">
        <w:rPr>
          <w:sz w:val="22"/>
          <w:szCs w:val="22"/>
        </w:rPr>
        <w:t>Memorando Circular</w:t>
      </w:r>
      <w:r w:rsidR="00A0476B" w:rsidRPr="00364D20">
        <w:rPr>
          <w:sz w:val="22"/>
          <w:szCs w:val="22"/>
        </w:rPr>
        <w:t xml:space="preserve"> N.º </w:t>
      </w:r>
      <w:r w:rsidR="00747790">
        <w:rPr>
          <w:sz w:val="22"/>
          <w:szCs w:val="22"/>
        </w:rPr>
        <w:t>074</w:t>
      </w:r>
      <w:r w:rsidR="00A0476B" w:rsidRPr="00364D20">
        <w:rPr>
          <w:color w:val="FF0000"/>
          <w:sz w:val="22"/>
          <w:szCs w:val="22"/>
        </w:rPr>
        <w:t>/201</w:t>
      </w:r>
      <w:r w:rsidR="00BE0BDC" w:rsidRPr="00364D20">
        <w:rPr>
          <w:color w:val="FF0000"/>
          <w:sz w:val="22"/>
          <w:szCs w:val="22"/>
        </w:rPr>
        <w:t>6</w:t>
      </w:r>
      <w:r w:rsidR="00A0476B" w:rsidRPr="00364D20">
        <w:rPr>
          <w:color w:val="FF0000"/>
          <w:sz w:val="22"/>
          <w:szCs w:val="22"/>
        </w:rPr>
        <w:t xml:space="preserve">/CFP/DP-UFG                  </w:t>
      </w:r>
      <w:r w:rsidR="00A0476B" w:rsidRPr="00364D20">
        <w:rPr>
          <w:sz w:val="22"/>
          <w:szCs w:val="22"/>
        </w:rPr>
        <w:t xml:space="preserve">Goiânia, </w:t>
      </w:r>
      <w:r w:rsidRPr="00364D20">
        <w:rPr>
          <w:sz w:val="22"/>
          <w:szCs w:val="22"/>
        </w:rPr>
        <w:t>0</w:t>
      </w:r>
      <w:r w:rsidR="00747790">
        <w:rPr>
          <w:sz w:val="22"/>
          <w:szCs w:val="22"/>
        </w:rPr>
        <w:t>6</w:t>
      </w:r>
      <w:r w:rsidR="00BE0BDC" w:rsidRPr="00364D20">
        <w:rPr>
          <w:sz w:val="22"/>
          <w:szCs w:val="22"/>
        </w:rPr>
        <w:t xml:space="preserve"> de junho de 2016</w:t>
      </w:r>
      <w:r w:rsidR="00A0476B" w:rsidRPr="00364D20">
        <w:rPr>
          <w:sz w:val="22"/>
          <w:szCs w:val="22"/>
        </w:rPr>
        <w:t>.</w:t>
      </w:r>
    </w:p>
    <w:p w:rsidR="00A0476B" w:rsidRPr="00364D20" w:rsidRDefault="00A0476B">
      <w:pPr>
        <w:suppressAutoHyphens w:val="0"/>
        <w:rPr>
          <w:sz w:val="22"/>
          <w:szCs w:val="22"/>
        </w:rPr>
      </w:pPr>
    </w:p>
    <w:p w:rsidR="00A0476B" w:rsidRPr="00364D20" w:rsidRDefault="00F91C0F">
      <w:pPr>
        <w:suppressAutoHyphens w:val="0"/>
        <w:rPr>
          <w:rFonts w:cs="Tahoma"/>
          <w:b/>
          <w:bCs/>
          <w:sz w:val="22"/>
          <w:szCs w:val="22"/>
          <w:lang w:eastAsia="pt-BR"/>
        </w:rPr>
      </w:pPr>
      <w:r w:rsidRPr="00364D20">
        <w:rPr>
          <w:sz w:val="22"/>
          <w:szCs w:val="22"/>
        </w:rPr>
        <w:t>Aos Dirigentes</w:t>
      </w:r>
      <w:r w:rsidR="0011012A" w:rsidRPr="00364D20">
        <w:rPr>
          <w:sz w:val="22"/>
          <w:szCs w:val="22"/>
        </w:rPr>
        <w:t xml:space="preserve"> e Coordenadores</w:t>
      </w:r>
      <w:r w:rsidRPr="00364D20">
        <w:rPr>
          <w:sz w:val="22"/>
          <w:szCs w:val="22"/>
        </w:rPr>
        <w:t xml:space="preserve"> das Unidades Organizacionais da UFG</w:t>
      </w:r>
    </w:p>
    <w:p w:rsidR="00A0476B" w:rsidRPr="00364D20" w:rsidRDefault="00A0476B" w:rsidP="0011012A">
      <w:pPr>
        <w:pStyle w:val="Ttulo9"/>
        <w:spacing w:line="240" w:lineRule="auto"/>
        <w:rPr>
          <w:sz w:val="22"/>
          <w:szCs w:val="22"/>
        </w:rPr>
      </w:pPr>
      <w:r w:rsidRPr="00364D20">
        <w:rPr>
          <w:sz w:val="22"/>
          <w:szCs w:val="22"/>
        </w:rPr>
        <w:t xml:space="preserve">Assunto: </w:t>
      </w:r>
      <w:r w:rsidR="00F91C0F" w:rsidRPr="00364D20">
        <w:rPr>
          <w:sz w:val="22"/>
          <w:szCs w:val="22"/>
        </w:rPr>
        <w:t>Frequência de Servidores</w:t>
      </w:r>
      <w:r w:rsidR="0011012A" w:rsidRPr="00364D20">
        <w:rPr>
          <w:sz w:val="22"/>
          <w:szCs w:val="22"/>
        </w:rPr>
        <w:t>, Professores Substitutos e Residentes Médicos/ Multiprofissionais.</w:t>
      </w:r>
    </w:p>
    <w:p w:rsidR="00241C0E" w:rsidRDefault="00241C0E" w:rsidP="002B42A9">
      <w:pPr>
        <w:pStyle w:val="Lista"/>
        <w:spacing w:after="0"/>
        <w:rPr>
          <w:rFonts w:cs="Times New Roman"/>
          <w:sz w:val="22"/>
          <w:szCs w:val="22"/>
        </w:rPr>
      </w:pPr>
    </w:p>
    <w:p w:rsidR="00A0476B" w:rsidRPr="00364D20" w:rsidRDefault="00A0476B" w:rsidP="002B42A9">
      <w:pPr>
        <w:pStyle w:val="Lista"/>
        <w:spacing w:after="0"/>
        <w:rPr>
          <w:sz w:val="22"/>
          <w:szCs w:val="22"/>
        </w:rPr>
      </w:pPr>
      <w:r w:rsidRPr="00364D20">
        <w:rPr>
          <w:rFonts w:cs="Times New Roman"/>
          <w:sz w:val="22"/>
          <w:szCs w:val="22"/>
        </w:rPr>
        <w:tab/>
      </w:r>
      <w:proofErr w:type="gramStart"/>
      <w:r w:rsidRPr="00364D20">
        <w:rPr>
          <w:sz w:val="22"/>
          <w:szCs w:val="22"/>
        </w:rPr>
        <w:t>Senhor</w:t>
      </w:r>
      <w:r w:rsidR="00212C59">
        <w:rPr>
          <w:sz w:val="22"/>
          <w:szCs w:val="22"/>
        </w:rPr>
        <w:t>(</w:t>
      </w:r>
      <w:proofErr w:type="gramEnd"/>
      <w:r w:rsidR="00212C59">
        <w:rPr>
          <w:sz w:val="22"/>
          <w:szCs w:val="22"/>
        </w:rPr>
        <w:t>a)</w:t>
      </w:r>
      <w:r w:rsidRPr="00364D20">
        <w:rPr>
          <w:sz w:val="22"/>
          <w:szCs w:val="22"/>
        </w:rPr>
        <w:t xml:space="preserve"> </w:t>
      </w:r>
      <w:r w:rsidR="00090200" w:rsidRPr="00364D20">
        <w:rPr>
          <w:sz w:val="22"/>
          <w:szCs w:val="22"/>
        </w:rPr>
        <w:t>Dirigente</w:t>
      </w:r>
      <w:r w:rsidR="0011012A" w:rsidRPr="00364D20">
        <w:rPr>
          <w:sz w:val="22"/>
          <w:szCs w:val="22"/>
        </w:rPr>
        <w:t>/Coordenador</w:t>
      </w:r>
      <w:r w:rsidR="00212C59">
        <w:rPr>
          <w:sz w:val="22"/>
          <w:szCs w:val="22"/>
        </w:rPr>
        <w:t>(a)</w:t>
      </w:r>
      <w:r w:rsidR="00090200" w:rsidRPr="00364D20">
        <w:rPr>
          <w:sz w:val="22"/>
          <w:szCs w:val="22"/>
        </w:rPr>
        <w:t>,</w:t>
      </w:r>
    </w:p>
    <w:p w:rsidR="00A0476B" w:rsidRPr="00364D20" w:rsidRDefault="00A0476B">
      <w:pPr>
        <w:pStyle w:val="Corpodetexto2"/>
        <w:rPr>
          <w:sz w:val="22"/>
          <w:szCs w:val="22"/>
        </w:rPr>
      </w:pPr>
      <w:r w:rsidRPr="00364D20">
        <w:rPr>
          <w:sz w:val="22"/>
          <w:szCs w:val="22"/>
        </w:rPr>
        <w:tab/>
      </w:r>
    </w:p>
    <w:p w:rsidR="00090200" w:rsidRPr="00364D20" w:rsidRDefault="000354C7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1</w:t>
      </w:r>
      <w:r w:rsidR="00090200" w:rsidRPr="00364D20">
        <w:rPr>
          <w:sz w:val="22"/>
          <w:szCs w:val="22"/>
        </w:rPr>
        <w:tab/>
        <w:t>Com o objetivo de dar maior transparência e garantir a adequada manutenção da folha de pagamento desta Universidade, vimos informar sobre a fixação de prazo para entrega de frequências</w:t>
      </w:r>
      <w:r w:rsidRPr="00364D20">
        <w:rPr>
          <w:sz w:val="22"/>
          <w:szCs w:val="22"/>
        </w:rPr>
        <w:t xml:space="preserve"> de servidores</w:t>
      </w:r>
      <w:r w:rsidR="0011012A" w:rsidRPr="00364D20">
        <w:rPr>
          <w:sz w:val="22"/>
          <w:szCs w:val="22"/>
        </w:rPr>
        <w:t>, professores substitutos e residentes médicos/multiprofissionais</w:t>
      </w:r>
      <w:r w:rsidRPr="00364D20">
        <w:rPr>
          <w:sz w:val="22"/>
          <w:szCs w:val="22"/>
        </w:rPr>
        <w:t>, como também, prestar outros esclarecimentos.</w:t>
      </w:r>
    </w:p>
    <w:p w:rsidR="000354C7" w:rsidRPr="00364D20" w:rsidRDefault="000354C7" w:rsidP="00A1785E">
      <w:pPr>
        <w:jc w:val="both"/>
        <w:rPr>
          <w:sz w:val="22"/>
          <w:szCs w:val="22"/>
        </w:rPr>
      </w:pPr>
    </w:p>
    <w:p w:rsidR="000354C7" w:rsidRPr="00364D20" w:rsidRDefault="000354C7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2</w:t>
      </w:r>
      <w:r w:rsidRPr="00364D20">
        <w:rPr>
          <w:sz w:val="22"/>
          <w:szCs w:val="22"/>
        </w:rPr>
        <w:tab/>
        <w:t xml:space="preserve">Informamos que a partir do mês de </w:t>
      </w:r>
      <w:r w:rsidRPr="00364D20">
        <w:rPr>
          <w:b/>
          <w:sz w:val="22"/>
          <w:szCs w:val="22"/>
        </w:rPr>
        <w:t>JULHO/2016</w:t>
      </w:r>
      <w:r w:rsidRPr="00364D20">
        <w:rPr>
          <w:sz w:val="22"/>
          <w:szCs w:val="22"/>
        </w:rPr>
        <w:t xml:space="preserve">, somente serão executadas em folha de pagamento, as movimentações constantes em frequência, </w:t>
      </w:r>
      <w:r w:rsidR="004818EF" w:rsidRPr="00364D20">
        <w:rPr>
          <w:sz w:val="22"/>
          <w:szCs w:val="22"/>
        </w:rPr>
        <w:t xml:space="preserve">e outras não registradas neste documento, como, Adicional de Plantão Hospitalar e Gratificação por Encargo de Curso/Concurso, </w:t>
      </w:r>
      <w:r w:rsidRPr="00364D20">
        <w:rPr>
          <w:sz w:val="22"/>
          <w:szCs w:val="22"/>
        </w:rPr>
        <w:t xml:space="preserve">caso </w:t>
      </w:r>
      <w:r w:rsidR="00393ACA" w:rsidRPr="00364D20">
        <w:rPr>
          <w:sz w:val="22"/>
          <w:szCs w:val="22"/>
        </w:rPr>
        <w:t xml:space="preserve">estas </w:t>
      </w:r>
      <w:r w:rsidRPr="00364D20">
        <w:rPr>
          <w:sz w:val="22"/>
          <w:szCs w:val="22"/>
        </w:rPr>
        <w:t xml:space="preserve">tenham sido entregues </w:t>
      </w:r>
      <w:r w:rsidRPr="00364D20">
        <w:rPr>
          <w:b/>
          <w:sz w:val="22"/>
          <w:szCs w:val="22"/>
        </w:rPr>
        <w:t>até dia 05 (cinco) do mês subsequente</w:t>
      </w:r>
      <w:r w:rsidR="00CB725B" w:rsidRPr="00364D20">
        <w:rPr>
          <w:b/>
          <w:sz w:val="22"/>
          <w:szCs w:val="22"/>
        </w:rPr>
        <w:t xml:space="preserve"> ao mês </w:t>
      </w:r>
      <w:r w:rsidR="00393ACA" w:rsidRPr="00364D20">
        <w:rPr>
          <w:b/>
          <w:sz w:val="22"/>
          <w:szCs w:val="22"/>
        </w:rPr>
        <w:t xml:space="preserve">de competência </w:t>
      </w:r>
      <w:r w:rsidR="00CB725B" w:rsidRPr="00364D20">
        <w:rPr>
          <w:b/>
          <w:sz w:val="22"/>
          <w:szCs w:val="22"/>
        </w:rPr>
        <w:t>da frequência</w:t>
      </w:r>
      <w:r w:rsidRPr="00364D20">
        <w:rPr>
          <w:sz w:val="22"/>
          <w:szCs w:val="22"/>
        </w:rPr>
        <w:t xml:space="preserve">. </w:t>
      </w:r>
      <w:r w:rsidR="00393ACA" w:rsidRPr="00364D20">
        <w:rPr>
          <w:sz w:val="22"/>
          <w:szCs w:val="22"/>
        </w:rPr>
        <w:t xml:space="preserve">Sendo o dia 05 (cinco) feriado, ponto facultativo </w:t>
      </w:r>
      <w:r w:rsidRPr="00364D20">
        <w:rPr>
          <w:sz w:val="22"/>
          <w:szCs w:val="22"/>
        </w:rPr>
        <w:t>ou final de semana, fica estabelecido como prazo final o dia útil imediatamente anterior.</w:t>
      </w:r>
    </w:p>
    <w:p w:rsidR="00967647" w:rsidRPr="00364D20" w:rsidRDefault="00967647" w:rsidP="00A1785E">
      <w:pPr>
        <w:jc w:val="both"/>
        <w:rPr>
          <w:sz w:val="22"/>
          <w:szCs w:val="22"/>
        </w:rPr>
      </w:pPr>
    </w:p>
    <w:p w:rsidR="00967647" w:rsidRPr="00364D20" w:rsidRDefault="00967647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3</w:t>
      </w:r>
      <w:r w:rsidRPr="00364D20">
        <w:rPr>
          <w:sz w:val="22"/>
          <w:szCs w:val="22"/>
        </w:rPr>
        <w:tab/>
        <w:t xml:space="preserve">A frequência deve ser encaminhada mensalmente </w:t>
      </w:r>
      <w:r w:rsidR="00C517C1" w:rsidRPr="00364D20">
        <w:rPr>
          <w:sz w:val="22"/>
          <w:szCs w:val="22"/>
        </w:rPr>
        <w:t>a</w:t>
      </w:r>
      <w:r w:rsidRPr="00364D20">
        <w:rPr>
          <w:sz w:val="22"/>
          <w:szCs w:val="22"/>
        </w:rPr>
        <w:t xml:space="preserve"> esta Coordenação Financeira de Pessoal/DP, assinada pelo responsável pela elaboração do documento, como também pelo Dirigente máximo da Unidade/Departamento ou por seu substituto.</w:t>
      </w:r>
      <w:r w:rsidR="00C517C1" w:rsidRPr="00364D20">
        <w:rPr>
          <w:sz w:val="22"/>
          <w:szCs w:val="22"/>
        </w:rPr>
        <w:t xml:space="preserve"> A data de conclusão e assinatura do documento deve ser sempre do mês subsequente. Ou seja, o documento não pode ser finalizado antes do término do mês correspondente. A ausência de entrega do documento que comprove a frequência d</w:t>
      </w:r>
      <w:r w:rsidR="0011012A" w:rsidRPr="00364D20">
        <w:rPr>
          <w:sz w:val="22"/>
          <w:szCs w:val="22"/>
        </w:rPr>
        <w:t>e</w:t>
      </w:r>
      <w:r w:rsidR="00C517C1" w:rsidRPr="00364D20">
        <w:rPr>
          <w:sz w:val="22"/>
          <w:szCs w:val="22"/>
        </w:rPr>
        <w:t xml:space="preserve"> servidores</w:t>
      </w:r>
      <w:r w:rsidR="0011012A" w:rsidRPr="00364D20">
        <w:rPr>
          <w:sz w:val="22"/>
          <w:szCs w:val="22"/>
        </w:rPr>
        <w:t>, professores substitutos e residentes médicos ou multiprofissionais,</w:t>
      </w:r>
      <w:r w:rsidR="00C517C1" w:rsidRPr="00364D20">
        <w:rPr>
          <w:sz w:val="22"/>
          <w:szCs w:val="22"/>
        </w:rPr>
        <w:t xml:space="preserve"> pode acarretar em interrupção de pagamento de salário</w:t>
      </w:r>
      <w:r w:rsidR="00CA2816" w:rsidRPr="00364D20">
        <w:rPr>
          <w:sz w:val="22"/>
          <w:szCs w:val="22"/>
        </w:rPr>
        <w:t>/bolsa</w:t>
      </w:r>
      <w:r w:rsidR="00C517C1" w:rsidRPr="00364D20">
        <w:rPr>
          <w:sz w:val="22"/>
          <w:szCs w:val="22"/>
        </w:rPr>
        <w:t>.</w:t>
      </w:r>
    </w:p>
    <w:p w:rsidR="000354C7" w:rsidRPr="00364D20" w:rsidRDefault="000354C7" w:rsidP="00A1785E">
      <w:pPr>
        <w:jc w:val="both"/>
        <w:rPr>
          <w:sz w:val="22"/>
          <w:szCs w:val="22"/>
        </w:rPr>
      </w:pPr>
    </w:p>
    <w:p w:rsidR="000354C7" w:rsidRPr="00364D20" w:rsidRDefault="00BC0FEB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4</w:t>
      </w:r>
      <w:r w:rsidR="000354C7" w:rsidRPr="00364D20">
        <w:rPr>
          <w:sz w:val="22"/>
          <w:szCs w:val="22"/>
        </w:rPr>
        <w:tab/>
        <w:t>Esclarecemos nesta oportunidade, que as movimentações incluídas em frequência, como: substituições, faltas, adicional noturno</w:t>
      </w:r>
      <w:r w:rsidR="00217779" w:rsidRPr="00364D20">
        <w:rPr>
          <w:sz w:val="22"/>
          <w:szCs w:val="22"/>
        </w:rPr>
        <w:t>, afastamentos</w:t>
      </w:r>
      <w:r w:rsidR="000354C7" w:rsidRPr="00364D20">
        <w:rPr>
          <w:sz w:val="22"/>
          <w:szCs w:val="22"/>
        </w:rPr>
        <w:t xml:space="preserve"> entre outros, sempre devem ser relativas ao mês da frequência, e caso haja necessidade de incluir informações de meses retroativos, estas devem ser objeto de retificação</w:t>
      </w:r>
      <w:r w:rsidR="00BD7B8E" w:rsidRPr="00364D20">
        <w:rPr>
          <w:sz w:val="22"/>
          <w:szCs w:val="22"/>
        </w:rPr>
        <w:t xml:space="preserve"> via memorando</w:t>
      </w:r>
      <w:r w:rsidR="00CB725B" w:rsidRPr="00364D20">
        <w:rPr>
          <w:sz w:val="22"/>
          <w:szCs w:val="22"/>
        </w:rPr>
        <w:t xml:space="preserve">, </w:t>
      </w:r>
      <w:r w:rsidR="00BD7B8E" w:rsidRPr="00364D20">
        <w:rPr>
          <w:sz w:val="22"/>
          <w:szCs w:val="22"/>
        </w:rPr>
        <w:t>anexando ao documento de retificação</w:t>
      </w:r>
      <w:r w:rsidR="00CB725B" w:rsidRPr="00364D20">
        <w:rPr>
          <w:sz w:val="22"/>
          <w:szCs w:val="22"/>
        </w:rPr>
        <w:t>,</w:t>
      </w:r>
      <w:r w:rsidR="00217779" w:rsidRPr="00364D20">
        <w:rPr>
          <w:sz w:val="22"/>
          <w:szCs w:val="22"/>
        </w:rPr>
        <w:t xml:space="preserve"> </w:t>
      </w:r>
      <w:r w:rsidR="000354C7" w:rsidRPr="00364D20">
        <w:rPr>
          <w:sz w:val="22"/>
          <w:szCs w:val="22"/>
        </w:rPr>
        <w:t xml:space="preserve">as frequências </w:t>
      </w:r>
      <w:r w:rsidR="00BD7B8E" w:rsidRPr="00364D20">
        <w:rPr>
          <w:sz w:val="22"/>
          <w:szCs w:val="22"/>
        </w:rPr>
        <w:t xml:space="preserve">com as devidas alterações </w:t>
      </w:r>
      <w:r w:rsidR="000354C7" w:rsidRPr="00364D20">
        <w:rPr>
          <w:sz w:val="22"/>
          <w:szCs w:val="22"/>
        </w:rPr>
        <w:t>correspondentes ao mês de competência</w:t>
      </w:r>
      <w:r w:rsidR="00217779" w:rsidRPr="00364D20">
        <w:rPr>
          <w:sz w:val="22"/>
          <w:szCs w:val="22"/>
        </w:rPr>
        <w:t xml:space="preserve"> da ocorrência</w:t>
      </w:r>
      <w:r w:rsidR="000354C7" w:rsidRPr="00364D20">
        <w:rPr>
          <w:sz w:val="22"/>
          <w:szCs w:val="22"/>
        </w:rPr>
        <w:t>.</w:t>
      </w:r>
      <w:r w:rsidR="00BD7B8E" w:rsidRPr="00364D20">
        <w:rPr>
          <w:sz w:val="22"/>
          <w:szCs w:val="22"/>
        </w:rPr>
        <w:t xml:space="preserve"> Lembramos ainda, que as frequências originais, sempre são mantidas em nossos arquivos.</w:t>
      </w:r>
    </w:p>
    <w:p w:rsidR="000354C7" w:rsidRPr="00364D20" w:rsidRDefault="000354C7" w:rsidP="00A1785E">
      <w:pPr>
        <w:jc w:val="both"/>
        <w:rPr>
          <w:sz w:val="22"/>
          <w:szCs w:val="22"/>
        </w:rPr>
      </w:pPr>
    </w:p>
    <w:p w:rsidR="000354C7" w:rsidRPr="00364D20" w:rsidRDefault="00BC0FEB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5</w:t>
      </w:r>
      <w:r w:rsidR="00217779" w:rsidRPr="00364D20">
        <w:rPr>
          <w:sz w:val="22"/>
          <w:szCs w:val="22"/>
        </w:rPr>
        <w:tab/>
        <w:t>Por não haver definição de modelo padrão de frequência</w:t>
      </w:r>
      <w:r w:rsidR="004818EF" w:rsidRPr="00364D20">
        <w:rPr>
          <w:sz w:val="22"/>
          <w:szCs w:val="22"/>
        </w:rPr>
        <w:t xml:space="preserve"> nesta Universidade</w:t>
      </w:r>
      <w:r w:rsidR="00217779" w:rsidRPr="00364D20">
        <w:rPr>
          <w:sz w:val="22"/>
          <w:szCs w:val="22"/>
        </w:rPr>
        <w:t xml:space="preserve">, e cada Unidade </w:t>
      </w:r>
      <w:r w:rsidR="00671E1E">
        <w:rPr>
          <w:sz w:val="22"/>
          <w:szCs w:val="22"/>
        </w:rPr>
        <w:t>Organizacional</w:t>
      </w:r>
      <w:r w:rsidR="00217779" w:rsidRPr="00364D20">
        <w:rPr>
          <w:sz w:val="22"/>
          <w:szCs w:val="22"/>
        </w:rPr>
        <w:t xml:space="preserve">, utilizar-se de modelos que melhor atendam as suas necessidades, solicitamos os bons préstimos </w:t>
      </w:r>
      <w:r w:rsidR="00BD1804" w:rsidRPr="00364D20">
        <w:rPr>
          <w:sz w:val="22"/>
          <w:szCs w:val="22"/>
        </w:rPr>
        <w:t>na</w:t>
      </w:r>
      <w:r w:rsidR="00217779" w:rsidRPr="00364D20">
        <w:rPr>
          <w:sz w:val="22"/>
          <w:szCs w:val="22"/>
        </w:rPr>
        <w:t xml:space="preserve"> colaboração da inserção de informações das movimentações nas frequências, </w:t>
      </w:r>
      <w:r w:rsidR="00BD1804" w:rsidRPr="00364D20">
        <w:rPr>
          <w:sz w:val="22"/>
          <w:szCs w:val="22"/>
        </w:rPr>
        <w:t xml:space="preserve">com clareza e exatidão, </w:t>
      </w:r>
      <w:r w:rsidR="00217779" w:rsidRPr="00364D20">
        <w:rPr>
          <w:sz w:val="22"/>
          <w:szCs w:val="22"/>
        </w:rPr>
        <w:t>possibilitando uma melhor análise dos dados, quando do registro em folha de pagamento.</w:t>
      </w:r>
    </w:p>
    <w:p w:rsidR="000354C7" w:rsidRPr="00364D20" w:rsidRDefault="000354C7" w:rsidP="00A1785E">
      <w:pPr>
        <w:jc w:val="both"/>
        <w:rPr>
          <w:sz w:val="22"/>
          <w:szCs w:val="22"/>
        </w:rPr>
      </w:pPr>
    </w:p>
    <w:p w:rsidR="00364D20" w:rsidRDefault="00BC0FEB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6</w:t>
      </w:r>
      <w:r w:rsidR="00BD1804" w:rsidRPr="00364D20">
        <w:rPr>
          <w:sz w:val="22"/>
          <w:szCs w:val="22"/>
        </w:rPr>
        <w:tab/>
      </w:r>
      <w:r w:rsidR="00F24D8B" w:rsidRPr="00364D20">
        <w:rPr>
          <w:sz w:val="22"/>
          <w:szCs w:val="22"/>
        </w:rPr>
        <w:t>Há também, necessidade de desconstruir hábito de antecipação de envio de frequências nos meses que encerram o exercício (novembro e dezembro). O envio da frequência</w:t>
      </w:r>
      <w:r w:rsidR="00CA55BF" w:rsidRPr="00364D20">
        <w:rPr>
          <w:sz w:val="22"/>
          <w:szCs w:val="22"/>
        </w:rPr>
        <w:t xml:space="preserve"> </w:t>
      </w:r>
      <w:r w:rsidR="00967647" w:rsidRPr="00364D20">
        <w:rPr>
          <w:sz w:val="22"/>
          <w:szCs w:val="22"/>
        </w:rPr>
        <w:t>até o dia 05 do m</w:t>
      </w:r>
      <w:r w:rsidR="00CA55BF" w:rsidRPr="00364D20">
        <w:rPr>
          <w:sz w:val="22"/>
          <w:szCs w:val="22"/>
        </w:rPr>
        <w:t xml:space="preserve">ês </w:t>
      </w:r>
    </w:p>
    <w:p w:rsidR="00BD1804" w:rsidRPr="00364D20" w:rsidRDefault="00CA55BF" w:rsidP="00A1785E">
      <w:pPr>
        <w:jc w:val="both"/>
        <w:rPr>
          <w:sz w:val="22"/>
          <w:szCs w:val="22"/>
        </w:rPr>
      </w:pPr>
      <w:proofErr w:type="gramStart"/>
      <w:r w:rsidRPr="00364D20">
        <w:rPr>
          <w:sz w:val="22"/>
          <w:szCs w:val="22"/>
        </w:rPr>
        <w:t>subsequente</w:t>
      </w:r>
      <w:proofErr w:type="gramEnd"/>
      <w:r w:rsidRPr="00364D20">
        <w:rPr>
          <w:sz w:val="22"/>
          <w:szCs w:val="22"/>
        </w:rPr>
        <w:t xml:space="preserve"> </w:t>
      </w:r>
      <w:r w:rsidR="00393ACA" w:rsidRPr="00364D20">
        <w:rPr>
          <w:sz w:val="22"/>
          <w:szCs w:val="22"/>
        </w:rPr>
        <w:t xml:space="preserve">ao da competência, </w:t>
      </w:r>
      <w:r w:rsidRPr="00364D20">
        <w:rPr>
          <w:sz w:val="22"/>
          <w:szCs w:val="22"/>
        </w:rPr>
        <w:t>não traz quaisquer prejuízos f</w:t>
      </w:r>
      <w:r w:rsidR="0011012A" w:rsidRPr="00364D20">
        <w:rPr>
          <w:sz w:val="22"/>
          <w:szCs w:val="22"/>
        </w:rPr>
        <w:t>inanceiros ou funcionais para servidores, professores substitutos e residentes médicos/multiprofissionais</w:t>
      </w:r>
      <w:r w:rsidRPr="00364D20">
        <w:rPr>
          <w:sz w:val="22"/>
          <w:szCs w:val="22"/>
        </w:rPr>
        <w:t>.</w:t>
      </w:r>
    </w:p>
    <w:p w:rsidR="00CA55BF" w:rsidRPr="00364D20" w:rsidRDefault="00CA55BF" w:rsidP="00A1785E">
      <w:pPr>
        <w:jc w:val="both"/>
        <w:rPr>
          <w:sz w:val="22"/>
          <w:szCs w:val="22"/>
        </w:rPr>
      </w:pPr>
    </w:p>
    <w:p w:rsidR="00CA55BF" w:rsidRPr="00364D20" w:rsidRDefault="00BC0FEB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7</w:t>
      </w:r>
      <w:r w:rsidR="00CA55BF" w:rsidRPr="00364D20">
        <w:rPr>
          <w:sz w:val="22"/>
          <w:szCs w:val="22"/>
        </w:rPr>
        <w:tab/>
      </w:r>
      <w:r w:rsidR="00CB725B" w:rsidRPr="00364D20">
        <w:rPr>
          <w:sz w:val="22"/>
          <w:szCs w:val="22"/>
        </w:rPr>
        <w:t>Sobre registro de atrasos ou impontualidades</w:t>
      </w:r>
      <w:r w:rsidR="00393ACA" w:rsidRPr="00364D20">
        <w:rPr>
          <w:sz w:val="22"/>
          <w:szCs w:val="22"/>
        </w:rPr>
        <w:t xml:space="preserve"> de servidores</w:t>
      </w:r>
      <w:r w:rsidR="00B032BF" w:rsidRPr="00364D20">
        <w:rPr>
          <w:sz w:val="22"/>
          <w:szCs w:val="22"/>
        </w:rPr>
        <w:t>, previstos no Art. 44 da Lei nº 8.112/90</w:t>
      </w:r>
      <w:r w:rsidR="00CB725B" w:rsidRPr="00364D20">
        <w:rPr>
          <w:sz w:val="22"/>
          <w:szCs w:val="22"/>
        </w:rPr>
        <w:t>, sempre</w:t>
      </w:r>
      <w:r w:rsidR="00CA55BF" w:rsidRPr="00364D20">
        <w:rPr>
          <w:sz w:val="22"/>
          <w:szCs w:val="22"/>
        </w:rPr>
        <w:t xml:space="preserve"> deve constar os dias em que </w:t>
      </w:r>
      <w:r w:rsidR="00393ACA" w:rsidRPr="00364D20">
        <w:rPr>
          <w:sz w:val="22"/>
          <w:szCs w:val="22"/>
        </w:rPr>
        <w:t>ocorreram</w:t>
      </w:r>
      <w:r w:rsidR="00CA55BF" w:rsidRPr="00364D20">
        <w:rPr>
          <w:sz w:val="22"/>
          <w:szCs w:val="22"/>
        </w:rPr>
        <w:t xml:space="preserve"> como também as horas ou minutos correspondentes.</w:t>
      </w:r>
      <w:r w:rsidR="00CB725B" w:rsidRPr="00364D20">
        <w:rPr>
          <w:sz w:val="22"/>
          <w:szCs w:val="22"/>
        </w:rPr>
        <w:t xml:space="preserve"> Evitar, portanto, enviar informações que não dão condições de registro ou </w:t>
      </w:r>
      <w:r w:rsidR="00393ACA" w:rsidRPr="00364D20">
        <w:rPr>
          <w:sz w:val="22"/>
          <w:szCs w:val="22"/>
        </w:rPr>
        <w:t xml:space="preserve">de realização do </w:t>
      </w:r>
      <w:r w:rsidR="00CB725B" w:rsidRPr="00364D20">
        <w:rPr>
          <w:sz w:val="22"/>
          <w:szCs w:val="22"/>
        </w:rPr>
        <w:t>acerto financeiro</w:t>
      </w:r>
      <w:r w:rsidR="00671E1E">
        <w:rPr>
          <w:sz w:val="22"/>
          <w:szCs w:val="22"/>
        </w:rPr>
        <w:t xml:space="preserve"> correspondente</w:t>
      </w:r>
      <w:r w:rsidR="00CB725B" w:rsidRPr="00364D20">
        <w:rPr>
          <w:sz w:val="22"/>
          <w:szCs w:val="22"/>
        </w:rPr>
        <w:t>.</w:t>
      </w:r>
    </w:p>
    <w:p w:rsidR="00CA55BF" w:rsidRPr="00364D20" w:rsidRDefault="00CA55BF" w:rsidP="00A1785E">
      <w:pPr>
        <w:jc w:val="both"/>
        <w:rPr>
          <w:sz w:val="22"/>
          <w:szCs w:val="22"/>
        </w:rPr>
      </w:pPr>
    </w:p>
    <w:p w:rsidR="00CA55BF" w:rsidRPr="00364D20" w:rsidRDefault="00CB725B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8</w:t>
      </w:r>
      <w:r w:rsidRPr="00364D20">
        <w:rPr>
          <w:sz w:val="22"/>
          <w:szCs w:val="22"/>
        </w:rPr>
        <w:tab/>
      </w:r>
      <w:r w:rsidR="00CA55BF" w:rsidRPr="00364D20">
        <w:rPr>
          <w:sz w:val="22"/>
          <w:szCs w:val="22"/>
        </w:rPr>
        <w:t xml:space="preserve">Nos registros de faltas injustificadas, não utilizar termos que descaracterizam o previsto no Art. 44 da Lei nº 8.112/90, como, por exemplo: não </w:t>
      </w:r>
      <w:r w:rsidR="00F36C70" w:rsidRPr="00364D20">
        <w:rPr>
          <w:sz w:val="22"/>
          <w:szCs w:val="22"/>
        </w:rPr>
        <w:t>compareceu;</w:t>
      </w:r>
      <w:r w:rsidR="00CA55BF" w:rsidRPr="00364D20">
        <w:rPr>
          <w:sz w:val="22"/>
          <w:szCs w:val="22"/>
        </w:rPr>
        <w:t xml:space="preserve"> </w:t>
      </w:r>
      <w:r w:rsidR="00F36C70" w:rsidRPr="00364D20">
        <w:rPr>
          <w:sz w:val="22"/>
          <w:szCs w:val="22"/>
        </w:rPr>
        <w:t>ausente; aguardando perícia etc.</w:t>
      </w:r>
      <w:r w:rsidRPr="00364D20">
        <w:rPr>
          <w:sz w:val="22"/>
          <w:szCs w:val="22"/>
        </w:rPr>
        <w:t xml:space="preserve"> Sendo o único termo para definição da ocorrência, a palavra: FALTA INJUSTIFICADA.</w:t>
      </w:r>
      <w:r w:rsidR="0011012A" w:rsidRPr="00364D20">
        <w:rPr>
          <w:sz w:val="22"/>
          <w:szCs w:val="22"/>
        </w:rPr>
        <w:t xml:space="preserve"> E sempre informar os dias faltosos.</w:t>
      </w:r>
    </w:p>
    <w:p w:rsidR="00F36C70" w:rsidRPr="00364D20" w:rsidRDefault="00F36C70" w:rsidP="00A1785E">
      <w:pPr>
        <w:jc w:val="both"/>
        <w:rPr>
          <w:sz w:val="22"/>
          <w:szCs w:val="22"/>
        </w:rPr>
      </w:pPr>
    </w:p>
    <w:p w:rsidR="00666E0E" w:rsidRPr="00364D20" w:rsidRDefault="00CB725B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9</w:t>
      </w:r>
      <w:r w:rsidRPr="00364D20">
        <w:rPr>
          <w:sz w:val="22"/>
          <w:szCs w:val="22"/>
        </w:rPr>
        <w:tab/>
        <w:t>Ainda sobre o registro de faltas, de</w:t>
      </w:r>
      <w:r w:rsidR="00BC0FEB" w:rsidRPr="00364D20">
        <w:rPr>
          <w:sz w:val="22"/>
          <w:szCs w:val="22"/>
        </w:rPr>
        <w:t xml:space="preserve"> acordo com as Orientações Normativas vigentes, do Ministério do Planejamento</w:t>
      </w:r>
      <w:r w:rsidR="00B032BF" w:rsidRPr="00364D20">
        <w:rPr>
          <w:sz w:val="22"/>
          <w:szCs w:val="22"/>
        </w:rPr>
        <w:t xml:space="preserve"> (Ofício nº 226/99-COGLE/DENOR/SRH/SEAP)</w:t>
      </w:r>
      <w:r w:rsidR="00BC0FEB" w:rsidRPr="00364D20">
        <w:rPr>
          <w:sz w:val="22"/>
          <w:szCs w:val="22"/>
        </w:rPr>
        <w:t>, q</w:t>
      </w:r>
      <w:r w:rsidR="00666E0E" w:rsidRPr="00364D20">
        <w:rPr>
          <w:sz w:val="22"/>
          <w:szCs w:val="22"/>
        </w:rPr>
        <w:t xml:space="preserve">uando </w:t>
      </w:r>
      <w:r w:rsidR="0011012A" w:rsidRPr="00364D20">
        <w:rPr>
          <w:sz w:val="22"/>
          <w:szCs w:val="22"/>
        </w:rPr>
        <w:t>houver faltas</w:t>
      </w:r>
      <w:r w:rsidR="00666E0E" w:rsidRPr="00364D20">
        <w:rPr>
          <w:sz w:val="22"/>
          <w:szCs w:val="22"/>
        </w:rPr>
        <w:t xml:space="preserve"> nas sextas-feiras ou vésperas de feriado, tornam-se faltosos </w:t>
      </w:r>
      <w:r w:rsidR="00BC0FEB" w:rsidRPr="00364D20">
        <w:rPr>
          <w:sz w:val="22"/>
          <w:szCs w:val="22"/>
        </w:rPr>
        <w:t xml:space="preserve">também, </w:t>
      </w:r>
      <w:r w:rsidR="00666E0E" w:rsidRPr="00364D20">
        <w:rPr>
          <w:sz w:val="22"/>
          <w:szCs w:val="22"/>
        </w:rPr>
        <w:t xml:space="preserve">os dias não úteis subsequentes. Portanto, quando do registro de faltas nessas ocasiões, sempre registrar o período completo. </w:t>
      </w:r>
    </w:p>
    <w:p w:rsidR="00666E0E" w:rsidRPr="00364D20" w:rsidRDefault="00666E0E" w:rsidP="00A1785E">
      <w:pPr>
        <w:jc w:val="both"/>
        <w:rPr>
          <w:sz w:val="22"/>
          <w:szCs w:val="22"/>
        </w:rPr>
      </w:pPr>
    </w:p>
    <w:p w:rsidR="00666E0E" w:rsidRPr="00364D20" w:rsidRDefault="00666E0E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Exemplo:</w:t>
      </w:r>
    </w:p>
    <w:p w:rsidR="00666E0E" w:rsidRPr="00364D20" w:rsidRDefault="00666E0E" w:rsidP="00A1785E">
      <w:pPr>
        <w:jc w:val="both"/>
        <w:rPr>
          <w:sz w:val="22"/>
          <w:szCs w:val="22"/>
        </w:rPr>
      </w:pPr>
    </w:p>
    <w:p w:rsidR="00666E0E" w:rsidRPr="00364D20" w:rsidRDefault="0011012A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Falta</w:t>
      </w:r>
      <w:r w:rsidR="00666E0E" w:rsidRPr="00364D20">
        <w:rPr>
          <w:sz w:val="22"/>
          <w:szCs w:val="22"/>
        </w:rPr>
        <w:t xml:space="preserve"> em: 03/06/2016 (Sexta-feira).</w:t>
      </w:r>
    </w:p>
    <w:p w:rsidR="00666E0E" w:rsidRPr="00364D20" w:rsidRDefault="00666E0E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Dias faltosos: 03,04 e 05/06/2016 (Sexta, Sábado e Domingo).</w:t>
      </w:r>
    </w:p>
    <w:p w:rsidR="00666E0E" w:rsidRPr="00364D20" w:rsidRDefault="00666E0E" w:rsidP="00A1785E">
      <w:pPr>
        <w:jc w:val="both"/>
        <w:rPr>
          <w:sz w:val="22"/>
          <w:szCs w:val="22"/>
        </w:rPr>
      </w:pPr>
    </w:p>
    <w:p w:rsidR="002D2A8C" w:rsidRPr="00364D20" w:rsidRDefault="00CB725B" w:rsidP="009A7F9C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10</w:t>
      </w:r>
      <w:r w:rsidRPr="00364D20">
        <w:rPr>
          <w:sz w:val="22"/>
          <w:szCs w:val="22"/>
        </w:rPr>
        <w:tab/>
        <w:t xml:space="preserve">Esclarecemos </w:t>
      </w:r>
      <w:r w:rsidR="004818EF" w:rsidRPr="00364D20">
        <w:rPr>
          <w:sz w:val="22"/>
          <w:szCs w:val="22"/>
        </w:rPr>
        <w:t>também</w:t>
      </w:r>
      <w:r w:rsidRPr="00364D20">
        <w:rPr>
          <w:sz w:val="22"/>
          <w:szCs w:val="22"/>
        </w:rPr>
        <w:t xml:space="preserve">, que </w:t>
      </w:r>
      <w:r w:rsidR="004818EF" w:rsidRPr="00364D20">
        <w:rPr>
          <w:sz w:val="22"/>
          <w:szCs w:val="22"/>
        </w:rPr>
        <w:t>em relação ao</w:t>
      </w:r>
      <w:r w:rsidRPr="00364D20">
        <w:rPr>
          <w:sz w:val="22"/>
          <w:szCs w:val="22"/>
        </w:rPr>
        <w:t xml:space="preserve"> pagamento de substituiç</w:t>
      </w:r>
      <w:r w:rsidR="004818EF" w:rsidRPr="00364D20">
        <w:rPr>
          <w:sz w:val="22"/>
          <w:szCs w:val="22"/>
        </w:rPr>
        <w:t>ão,</w:t>
      </w:r>
      <w:r w:rsidRPr="00364D20">
        <w:rPr>
          <w:sz w:val="22"/>
          <w:szCs w:val="22"/>
        </w:rPr>
        <w:t xml:space="preserve"> </w:t>
      </w:r>
      <w:r w:rsidR="00B032BF" w:rsidRPr="00364D20">
        <w:rPr>
          <w:sz w:val="22"/>
          <w:szCs w:val="22"/>
        </w:rPr>
        <w:t>prevista no Art. 38 da Lei nº 8.112/90</w:t>
      </w:r>
      <w:r w:rsidRPr="00364D20">
        <w:rPr>
          <w:sz w:val="22"/>
          <w:szCs w:val="22"/>
        </w:rPr>
        <w:t xml:space="preserve">, </w:t>
      </w:r>
      <w:r w:rsidR="00671E1E">
        <w:rPr>
          <w:sz w:val="22"/>
          <w:szCs w:val="22"/>
        </w:rPr>
        <w:t xml:space="preserve">este </w:t>
      </w:r>
      <w:r w:rsidR="00393ACA" w:rsidRPr="00AE1155">
        <w:rPr>
          <w:sz w:val="22"/>
          <w:szCs w:val="22"/>
        </w:rPr>
        <w:t>depende</w:t>
      </w:r>
      <w:r w:rsidRPr="00AE1155">
        <w:rPr>
          <w:sz w:val="22"/>
          <w:szCs w:val="22"/>
        </w:rPr>
        <w:t xml:space="preserve"> </w:t>
      </w:r>
      <w:r w:rsidRPr="00AE1155">
        <w:rPr>
          <w:b/>
          <w:sz w:val="22"/>
          <w:szCs w:val="22"/>
          <w:u w:val="single"/>
        </w:rPr>
        <w:t>exclusivame</w:t>
      </w:r>
      <w:r w:rsidR="00393ACA" w:rsidRPr="00AE1155">
        <w:rPr>
          <w:b/>
          <w:sz w:val="22"/>
          <w:szCs w:val="22"/>
          <w:u w:val="single"/>
        </w:rPr>
        <w:t>nte</w:t>
      </w:r>
      <w:r w:rsidR="00393ACA" w:rsidRPr="00AE1155">
        <w:rPr>
          <w:sz w:val="22"/>
          <w:szCs w:val="22"/>
        </w:rPr>
        <w:t xml:space="preserve"> de comprovação do exercício da </w:t>
      </w:r>
      <w:r w:rsidRPr="00AE1155">
        <w:rPr>
          <w:sz w:val="22"/>
          <w:szCs w:val="22"/>
        </w:rPr>
        <w:t xml:space="preserve">substituição, ou seja, </w:t>
      </w:r>
      <w:r w:rsidR="00393ACA" w:rsidRPr="00AE1155">
        <w:rPr>
          <w:sz w:val="22"/>
          <w:szCs w:val="22"/>
        </w:rPr>
        <w:t xml:space="preserve">de </w:t>
      </w:r>
      <w:r w:rsidR="00393ACA" w:rsidRPr="00AE1155">
        <w:rPr>
          <w:b/>
          <w:sz w:val="22"/>
          <w:szCs w:val="22"/>
          <w:u w:val="single"/>
        </w:rPr>
        <w:t>informação em frequência</w:t>
      </w:r>
      <w:r w:rsidR="00393ACA" w:rsidRPr="00AE1155">
        <w:rPr>
          <w:sz w:val="22"/>
          <w:szCs w:val="22"/>
        </w:rPr>
        <w:t xml:space="preserve"> dos dias efetivos de</w:t>
      </w:r>
      <w:r w:rsidR="002E4F82" w:rsidRPr="00AE1155">
        <w:rPr>
          <w:sz w:val="22"/>
          <w:szCs w:val="22"/>
        </w:rPr>
        <w:t xml:space="preserve"> substituição</w:t>
      </w:r>
      <w:r w:rsidR="00AE1155">
        <w:rPr>
          <w:sz w:val="22"/>
          <w:szCs w:val="22"/>
        </w:rPr>
        <w:t xml:space="preserve">, </w:t>
      </w:r>
      <w:r w:rsidR="00AE1155" w:rsidRPr="00AE1155">
        <w:rPr>
          <w:b/>
          <w:sz w:val="22"/>
          <w:szCs w:val="22"/>
          <w:u w:val="single"/>
        </w:rPr>
        <w:t>eliminando quaisquer outras vias de informação</w:t>
      </w:r>
      <w:r w:rsidR="002E4F82" w:rsidRPr="00364D20">
        <w:rPr>
          <w:sz w:val="22"/>
          <w:szCs w:val="22"/>
        </w:rPr>
        <w:t xml:space="preserve">. Também é fundamental constar na frequência, </w:t>
      </w:r>
      <w:r w:rsidR="00393ACA" w:rsidRPr="00364D20">
        <w:rPr>
          <w:sz w:val="22"/>
          <w:szCs w:val="22"/>
        </w:rPr>
        <w:t xml:space="preserve">os dados do substituído, e principalmente o </w:t>
      </w:r>
      <w:r w:rsidR="002E4F82" w:rsidRPr="00364D20">
        <w:rPr>
          <w:sz w:val="22"/>
          <w:szCs w:val="22"/>
        </w:rPr>
        <w:t>motivo gerador da substituição.</w:t>
      </w:r>
      <w:r w:rsidR="00671E1E">
        <w:rPr>
          <w:sz w:val="22"/>
          <w:szCs w:val="22"/>
        </w:rPr>
        <w:t xml:space="preserve"> Caso as informações não deem condições para registro e pagamento, a movimentação financeira não será realizada. Como também não haverá aviso prévio da não inclusão em folha de pagamento.</w:t>
      </w:r>
    </w:p>
    <w:p w:rsidR="002E4F82" w:rsidRPr="00364D20" w:rsidRDefault="002E4F82" w:rsidP="009A7F9C">
      <w:pPr>
        <w:jc w:val="both"/>
        <w:rPr>
          <w:sz w:val="22"/>
          <w:szCs w:val="22"/>
        </w:rPr>
      </w:pPr>
    </w:p>
    <w:p w:rsidR="00CB725B" w:rsidRPr="00364D20" w:rsidRDefault="002E4F82" w:rsidP="009A7F9C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11</w:t>
      </w:r>
      <w:r w:rsidRPr="00364D20">
        <w:rPr>
          <w:sz w:val="22"/>
          <w:szCs w:val="22"/>
        </w:rPr>
        <w:tab/>
        <w:t xml:space="preserve">Por fim, esclarecemos </w:t>
      </w:r>
      <w:r w:rsidR="001007C2" w:rsidRPr="00364D20">
        <w:rPr>
          <w:sz w:val="22"/>
          <w:szCs w:val="22"/>
        </w:rPr>
        <w:t xml:space="preserve">que a regra fixada no item 02 deste Memorando, </w:t>
      </w:r>
      <w:r w:rsidR="00671E1E">
        <w:rPr>
          <w:sz w:val="22"/>
          <w:szCs w:val="22"/>
        </w:rPr>
        <w:t>terá um prazo de 60 (sessenta) dias, a partir da data de edição deste documento, para adaptação. Findado este prazo</w:t>
      </w:r>
      <w:r w:rsidR="00BD7B8E" w:rsidRPr="00364D20">
        <w:rPr>
          <w:sz w:val="22"/>
          <w:szCs w:val="22"/>
        </w:rPr>
        <w:t xml:space="preserve">, não mais </w:t>
      </w:r>
      <w:r w:rsidR="00364D20" w:rsidRPr="00364D20">
        <w:rPr>
          <w:sz w:val="22"/>
          <w:szCs w:val="22"/>
        </w:rPr>
        <w:t>serão considerados possíveis atrasos na entrega da frequência.</w:t>
      </w:r>
      <w:r w:rsidR="001007C2" w:rsidRPr="00364D20">
        <w:rPr>
          <w:sz w:val="22"/>
          <w:szCs w:val="22"/>
        </w:rPr>
        <w:t xml:space="preserve"> Com tais medidas</w:t>
      </w:r>
      <w:r w:rsidR="00365599" w:rsidRPr="00364D20">
        <w:rPr>
          <w:sz w:val="22"/>
          <w:szCs w:val="22"/>
        </w:rPr>
        <w:t xml:space="preserve"> e esclarecimentos, </w:t>
      </w:r>
      <w:r w:rsidR="00F91C0F" w:rsidRPr="00364D20">
        <w:rPr>
          <w:sz w:val="22"/>
          <w:szCs w:val="22"/>
        </w:rPr>
        <w:t>estamos zelando pela manutenção adequada da folha de pagamento desta Universidade</w:t>
      </w:r>
      <w:r w:rsidR="00365599" w:rsidRPr="00364D20">
        <w:rPr>
          <w:sz w:val="22"/>
          <w:szCs w:val="22"/>
        </w:rPr>
        <w:t>.</w:t>
      </w:r>
      <w:r w:rsidR="00F91C0F" w:rsidRPr="00364D20">
        <w:rPr>
          <w:sz w:val="22"/>
          <w:szCs w:val="22"/>
        </w:rPr>
        <w:t xml:space="preserve"> Assim</w:t>
      </w:r>
      <w:r w:rsidR="0011012A" w:rsidRPr="00364D20">
        <w:rPr>
          <w:sz w:val="22"/>
          <w:szCs w:val="22"/>
        </w:rPr>
        <w:t>,</w:t>
      </w:r>
      <w:r w:rsidR="00F91C0F" w:rsidRPr="00364D20">
        <w:rPr>
          <w:sz w:val="22"/>
          <w:szCs w:val="22"/>
        </w:rPr>
        <w:t xml:space="preserve"> contamos com a compreensão de todos no cumprimento das regras e prazos aqui fixados.</w:t>
      </w:r>
    </w:p>
    <w:p w:rsidR="001007C2" w:rsidRPr="00364D20" w:rsidRDefault="001007C2" w:rsidP="009A7F9C">
      <w:pPr>
        <w:jc w:val="both"/>
        <w:rPr>
          <w:sz w:val="22"/>
          <w:szCs w:val="22"/>
        </w:rPr>
      </w:pPr>
    </w:p>
    <w:p w:rsidR="00A0476B" w:rsidRPr="00364D20" w:rsidRDefault="00A0476B">
      <w:pPr>
        <w:pStyle w:val="Recuodecorpodetexto2"/>
        <w:tabs>
          <w:tab w:val="left" w:pos="2127"/>
        </w:tabs>
        <w:suppressAutoHyphens/>
        <w:spacing w:before="0"/>
        <w:rPr>
          <w:sz w:val="22"/>
          <w:szCs w:val="22"/>
        </w:rPr>
      </w:pPr>
      <w:r w:rsidRPr="00364D20">
        <w:rPr>
          <w:sz w:val="22"/>
          <w:szCs w:val="22"/>
        </w:rPr>
        <w:t>Coordenação Financeira de Pessoal do Departamento do Pessoal da</w:t>
      </w:r>
      <w:r w:rsidR="00F91C0F" w:rsidRPr="00364D20">
        <w:rPr>
          <w:sz w:val="22"/>
          <w:szCs w:val="22"/>
        </w:rPr>
        <w:t xml:space="preserve"> Universidade Federal de Goiás, aos três</w:t>
      </w:r>
      <w:r w:rsidR="0043783D" w:rsidRPr="00364D20">
        <w:rPr>
          <w:sz w:val="22"/>
          <w:szCs w:val="22"/>
        </w:rPr>
        <w:t xml:space="preserve"> dia</w:t>
      </w:r>
      <w:r w:rsidR="00F91C0F" w:rsidRPr="00364D20">
        <w:rPr>
          <w:sz w:val="22"/>
          <w:szCs w:val="22"/>
        </w:rPr>
        <w:t>s</w:t>
      </w:r>
      <w:r w:rsidR="0043783D" w:rsidRPr="00364D20">
        <w:rPr>
          <w:sz w:val="22"/>
          <w:szCs w:val="22"/>
        </w:rPr>
        <w:t xml:space="preserve"> do mês de junho de dois mil e dezesseis.</w:t>
      </w:r>
    </w:p>
    <w:p w:rsidR="00A0476B" w:rsidRPr="00364D20" w:rsidRDefault="00A0476B">
      <w:pPr>
        <w:jc w:val="both"/>
        <w:rPr>
          <w:sz w:val="22"/>
          <w:szCs w:val="22"/>
        </w:rPr>
      </w:pPr>
    </w:p>
    <w:p w:rsidR="00364D20" w:rsidRPr="00364D20" w:rsidRDefault="00364D20">
      <w:pPr>
        <w:jc w:val="both"/>
        <w:rPr>
          <w:sz w:val="22"/>
          <w:szCs w:val="22"/>
        </w:rPr>
      </w:pPr>
    </w:p>
    <w:p w:rsidR="00A0476B" w:rsidRPr="00364D20" w:rsidRDefault="00A0476B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Atenciosamente,</w:t>
      </w:r>
    </w:p>
    <w:p w:rsidR="00A0476B" w:rsidRPr="00364D20" w:rsidRDefault="0043783D">
      <w:pPr>
        <w:pStyle w:val="Ttulo5"/>
        <w:tabs>
          <w:tab w:val="left" w:pos="0"/>
        </w:tabs>
        <w:rPr>
          <w:szCs w:val="22"/>
        </w:rPr>
      </w:pPr>
      <w:r w:rsidRPr="00364D20">
        <w:rPr>
          <w:szCs w:val="22"/>
        </w:rPr>
        <w:t xml:space="preserve">Me. </w:t>
      </w:r>
      <w:r w:rsidR="0093106D" w:rsidRPr="00364D20">
        <w:rPr>
          <w:szCs w:val="22"/>
        </w:rPr>
        <w:t>José Maurício Tomé Romano</w:t>
      </w:r>
    </w:p>
    <w:p w:rsidR="00A0476B" w:rsidRPr="00364D20" w:rsidRDefault="00A0476B">
      <w:pPr>
        <w:pStyle w:val="Ttulo6"/>
        <w:rPr>
          <w:b w:val="0"/>
          <w:bCs/>
          <w:sz w:val="22"/>
          <w:szCs w:val="22"/>
        </w:rPr>
      </w:pPr>
      <w:r w:rsidRPr="00364D20">
        <w:rPr>
          <w:b w:val="0"/>
          <w:bCs/>
          <w:sz w:val="22"/>
          <w:szCs w:val="22"/>
        </w:rPr>
        <w:t>Coordenador Financeiro de Pessoal</w:t>
      </w:r>
      <w:r w:rsidR="00A26466" w:rsidRPr="00364D20">
        <w:rPr>
          <w:b w:val="0"/>
          <w:bCs/>
          <w:sz w:val="22"/>
          <w:szCs w:val="22"/>
        </w:rPr>
        <w:t xml:space="preserve"> </w:t>
      </w:r>
    </w:p>
    <w:p w:rsidR="00A0476B" w:rsidRPr="00364D20" w:rsidRDefault="00A0476B">
      <w:pPr>
        <w:pStyle w:val="Ttulo7"/>
        <w:rPr>
          <w:sz w:val="22"/>
          <w:szCs w:val="22"/>
        </w:rPr>
      </w:pPr>
      <w:r w:rsidRPr="00364D20">
        <w:rPr>
          <w:sz w:val="22"/>
          <w:szCs w:val="22"/>
        </w:rPr>
        <w:t>CFP/DP/UFG</w:t>
      </w:r>
    </w:p>
    <w:p w:rsidR="00A0476B" w:rsidRDefault="00A0476B">
      <w:pPr>
        <w:jc w:val="center"/>
        <w:rPr>
          <w:sz w:val="28"/>
        </w:rPr>
      </w:pPr>
    </w:p>
    <w:p w:rsidR="00364D20" w:rsidRDefault="00364D20" w:rsidP="00364D20">
      <w:pPr>
        <w:ind w:firstLine="708"/>
        <w:rPr>
          <w:sz w:val="22"/>
          <w:szCs w:val="22"/>
        </w:rPr>
      </w:pPr>
      <w:r w:rsidRPr="00364D20">
        <w:rPr>
          <w:sz w:val="22"/>
          <w:szCs w:val="22"/>
        </w:rPr>
        <w:t>De acordo, em 06 de junho de 2016. Encaminhe-se às Unidades Organizacionais da UFG, para ciência e cumprimento.</w:t>
      </w:r>
    </w:p>
    <w:p w:rsidR="00364D20" w:rsidRDefault="00364D20">
      <w:pPr>
        <w:jc w:val="center"/>
        <w:rPr>
          <w:sz w:val="22"/>
          <w:szCs w:val="22"/>
        </w:rPr>
      </w:pPr>
    </w:p>
    <w:p w:rsidR="00241C0E" w:rsidRDefault="00241C0E">
      <w:pPr>
        <w:jc w:val="center"/>
        <w:rPr>
          <w:sz w:val="22"/>
          <w:szCs w:val="22"/>
        </w:rPr>
      </w:pPr>
    </w:p>
    <w:p w:rsidR="00364D20" w:rsidRDefault="00364D20">
      <w:pPr>
        <w:jc w:val="center"/>
        <w:rPr>
          <w:sz w:val="22"/>
          <w:szCs w:val="22"/>
        </w:rPr>
      </w:pPr>
    </w:p>
    <w:p w:rsidR="00364D20" w:rsidRPr="00364D20" w:rsidRDefault="00364D20" w:rsidP="00364D20">
      <w:pPr>
        <w:pStyle w:val="Ttulo5"/>
        <w:tabs>
          <w:tab w:val="left" w:pos="0"/>
        </w:tabs>
        <w:rPr>
          <w:szCs w:val="22"/>
        </w:rPr>
      </w:pPr>
      <w:r w:rsidRPr="00364D20">
        <w:rPr>
          <w:szCs w:val="22"/>
        </w:rPr>
        <w:t xml:space="preserve"> </w:t>
      </w:r>
      <w:r>
        <w:rPr>
          <w:szCs w:val="22"/>
        </w:rPr>
        <w:t>Maruska Vaz Sansaloni</w:t>
      </w:r>
    </w:p>
    <w:p w:rsidR="00364D20" w:rsidRPr="00364D20" w:rsidRDefault="00364D20" w:rsidP="00364D20">
      <w:pPr>
        <w:pStyle w:val="Ttulo6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Diretora do Departamento de Pessoal</w:t>
      </w:r>
    </w:p>
    <w:p w:rsidR="00364D20" w:rsidRPr="00364D20" w:rsidRDefault="00364D20" w:rsidP="00364D20">
      <w:pPr>
        <w:pStyle w:val="Ttulo7"/>
        <w:rPr>
          <w:sz w:val="22"/>
          <w:szCs w:val="22"/>
        </w:rPr>
      </w:pPr>
      <w:r>
        <w:rPr>
          <w:sz w:val="22"/>
          <w:szCs w:val="22"/>
        </w:rPr>
        <w:t xml:space="preserve">Esp. Em Gestão </w:t>
      </w:r>
      <w:proofErr w:type="gramStart"/>
      <w:r>
        <w:rPr>
          <w:sz w:val="22"/>
          <w:szCs w:val="22"/>
        </w:rPr>
        <w:t>Pública</w:t>
      </w:r>
      <w:proofErr w:type="gramEnd"/>
    </w:p>
    <w:p w:rsidR="00364D20" w:rsidRPr="00364D20" w:rsidRDefault="00364D20">
      <w:pPr>
        <w:jc w:val="center"/>
        <w:rPr>
          <w:sz w:val="22"/>
          <w:szCs w:val="22"/>
        </w:rPr>
      </w:pPr>
    </w:p>
    <w:sectPr w:rsidR="00364D20" w:rsidRPr="00364D20" w:rsidSect="00364D20">
      <w:footerReference w:type="default" r:id="rId10"/>
      <w:footnotePr>
        <w:pos w:val="beneathText"/>
      </w:footnotePr>
      <w:pgSz w:w="11905" w:h="16837"/>
      <w:pgMar w:top="1134" w:right="1021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BF" w:rsidRDefault="00F36BBF">
      <w:r>
        <w:separator/>
      </w:r>
    </w:p>
  </w:endnote>
  <w:endnote w:type="continuationSeparator" w:id="0">
    <w:p w:rsidR="00F36BBF" w:rsidRDefault="00F3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6B" w:rsidRDefault="00A0476B">
    <w:pPr>
      <w:pStyle w:val="Rodap"/>
    </w:pPr>
    <w:r>
      <w:t>_________________________________________________________________________________________</w:t>
    </w:r>
  </w:p>
  <w:p w:rsidR="00A0476B" w:rsidRDefault="00A0476B">
    <w:pPr>
      <w:pStyle w:val="Rodap"/>
    </w:pPr>
    <w:r>
      <w:t>Fone: (062) – 521-1300</w:t>
    </w:r>
    <w:proofErr w:type="gramStart"/>
    <w:r>
      <w:t xml:space="preserve">  </w:t>
    </w:r>
    <w:proofErr w:type="gramEnd"/>
    <w:r>
      <w:t>/  521-</w:t>
    </w:r>
    <w:r w:rsidR="0011012A">
      <w:t>1813</w:t>
    </w:r>
  </w:p>
  <w:p w:rsidR="00A0476B" w:rsidRDefault="00A0476B">
    <w:pPr>
      <w:pStyle w:val="Rodap"/>
    </w:pPr>
    <w:r>
      <w:t>FAX: (062) – 521-1174</w:t>
    </w:r>
  </w:p>
  <w:p w:rsidR="00A0476B" w:rsidRDefault="00A0476B">
    <w:pPr>
      <w:pStyle w:val="Rodap"/>
    </w:pPr>
    <w:r>
      <w:t xml:space="preserve">E-mail: </w:t>
    </w:r>
    <w:hyperlink r:id="rId1" w:history="1">
      <w:r>
        <w:rPr>
          <w:rStyle w:val="Hyperlink"/>
        </w:rPr>
        <w:t>romano@ufg.br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BF" w:rsidRDefault="00F36BBF">
      <w:r>
        <w:separator/>
      </w:r>
    </w:p>
  </w:footnote>
  <w:footnote w:type="continuationSeparator" w:id="0">
    <w:p w:rsidR="00F36BBF" w:rsidRDefault="00F3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1773843"/>
    <w:multiLevelType w:val="hybridMultilevel"/>
    <w:tmpl w:val="5A444054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3B72714"/>
    <w:multiLevelType w:val="multilevel"/>
    <w:tmpl w:val="E60615DE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032F05"/>
    <w:multiLevelType w:val="hybridMultilevel"/>
    <w:tmpl w:val="15E8DD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31FC9"/>
    <w:multiLevelType w:val="hybridMultilevel"/>
    <w:tmpl w:val="A2E4979E"/>
    <w:lvl w:ilvl="0" w:tplc="AC04C1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FBF722F"/>
    <w:multiLevelType w:val="hybridMultilevel"/>
    <w:tmpl w:val="9DC87E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E74A29"/>
    <w:multiLevelType w:val="hybridMultilevel"/>
    <w:tmpl w:val="B47A20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57E3"/>
    <w:rsid w:val="000354C7"/>
    <w:rsid w:val="00090200"/>
    <w:rsid w:val="00092EE5"/>
    <w:rsid w:val="001007C2"/>
    <w:rsid w:val="0011012A"/>
    <w:rsid w:val="00144623"/>
    <w:rsid w:val="001720A1"/>
    <w:rsid w:val="001B57E3"/>
    <w:rsid w:val="001C4975"/>
    <w:rsid w:val="001D0A76"/>
    <w:rsid w:val="001D4F28"/>
    <w:rsid w:val="00212C59"/>
    <w:rsid w:val="00217779"/>
    <w:rsid w:val="00241C0E"/>
    <w:rsid w:val="002B42A9"/>
    <w:rsid w:val="002D2A8C"/>
    <w:rsid w:val="002E4F82"/>
    <w:rsid w:val="00305BF4"/>
    <w:rsid w:val="00364D20"/>
    <w:rsid w:val="00365599"/>
    <w:rsid w:val="00392000"/>
    <w:rsid w:val="00393ACA"/>
    <w:rsid w:val="0043783D"/>
    <w:rsid w:val="004818EF"/>
    <w:rsid w:val="004C4C4A"/>
    <w:rsid w:val="00500D5B"/>
    <w:rsid w:val="005169FD"/>
    <w:rsid w:val="00527BC4"/>
    <w:rsid w:val="005464CE"/>
    <w:rsid w:val="00666662"/>
    <w:rsid w:val="00666E0E"/>
    <w:rsid w:val="00667AB4"/>
    <w:rsid w:val="00671E1E"/>
    <w:rsid w:val="006A7DC4"/>
    <w:rsid w:val="00712BE5"/>
    <w:rsid w:val="00747790"/>
    <w:rsid w:val="007738B4"/>
    <w:rsid w:val="007E0831"/>
    <w:rsid w:val="007E3D1B"/>
    <w:rsid w:val="008D16D4"/>
    <w:rsid w:val="00901B5D"/>
    <w:rsid w:val="0093106D"/>
    <w:rsid w:val="00967647"/>
    <w:rsid w:val="00993D60"/>
    <w:rsid w:val="009A7F9C"/>
    <w:rsid w:val="009E7A75"/>
    <w:rsid w:val="00A0476B"/>
    <w:rsid w:val="00A1785E"/>
    <w:rsid w:val="00A26466"/>
    <w:rsid w:val="00AE1155"/>
    <w:rsid w:val="00B032BF"/>
    <w:rsid w:val="00B10C23"/>
    <w:rsid w:val="00B27090"/>
    <w:rsid w:val="00B34182"/>
    <w:rsid w:val="00BC0FEB"/>
    <w:rsid w:val="00BD1804"/>
    <w:rsid w:val="00BD7B8E"/>
    <w:rsid w:val="00BE0BDC"/>
    <w:rsid w:val="00C150CA"/>
    <w:rsid w:val="00C517C1"/>
    <w:rsid w:val="00C855A9"/>
    <w:rsid w:val="00C95DB4"/>
    <w:rsid w:val="00CA2816"/>
    <w:rsid w:val="00CA55BF"/>
    <w:rsid w:val="00CB725B"/>
    <w:rsid w:val="00D7040C"/>
    <w:rsid w:val="00DF384F"/>
    <w:rsid w:val="00E069BC"/>
    <w:rsid w:val="00E14C8B"/>
    <w:rsid w:val="00EE54F2"/>
    <w:rsid w:val="00F24D8B"/>
    <w:rsid w:val="00F32A65"/>
    <w:rsid w:val="00F36BBF"/>
    <w:rsid w:val="00F36C70"/>
    <w:rsid w:val="00F91C0F"/>
    <w:rsid w:val="00FB6D84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D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D16D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8D16D4"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D16D4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D16D4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8D16D4"/>
    <w:pPr>
      <w:keepNext/>
      <w:numPr>
        <w:ilvl w:val="4"/>
        <w:numId w:val="1"/>
      </w:numPr>
      <w:jc w:val="center"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8D16D4"/>
    <w:pPr>
      <w:keepNext/>
      <w:jc w:val="center"/>
      <w:outlineLvl w:val="5"/>
    </w:pPr>
    <w:rPr>
      <w:b/>
      <w:i/>
      <w:sz w:val="16"/>
    </w:rPr>
  </w:style>
  <w:style w:type="paragraph" w:styleId="Ttulo7">
    <w:name w:val="heading 7"/>
    <w:basedOn w:val="Normal"/>
    <w:next w:val="Normal"/>
    <w:qFormat/>
    <w:rsid w:val="008D16D4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8D16D4"/>
    <w:pPr>
      <w:keepNext/>
      <w:snapToGrid w:val="0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8D16D4"/>
    <w:pPr>
      <w:keepNext/>
      <w:spacing w:line="360" w:lineRule="auto"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8D16D4"/>
    <w:rPr>
      <w:color w:val="0000FF"/>
      <w:u w:val="single"/>
    </w:rPr>
  </w:style>
  <w:style w:type="character" w:customStyle="1" w:styleId="Absatz-Standardschriftart">
    <w:name w:val="Absatz-Standardschriftart"/>
    <w:rsid w:val="008D16D4"/>
  </w:style>
  <w:style w:type="paragraph" w:styleId="Corpodetexto">
    <w:name w:val="Body Text"/>
    <w:basedOn w:val="Normal"/>
    <w:semiHidden/>
    <w:rsid w:val="008D16D4"/>
    <w:pPr>
      <w:spacing w:after="120"/>
    </w:pPr>
  </w:style>
  <w:style w:type="paragraph" w:styleId="Recuodecorpodetexto">
    <w:name w:val="Body Text Indent"/>
    <w:basedOn w:val="Normal"/>
    <w:semiHidden/>
    <w:rsid w:val="008D16D4"/>
    <w:pPr>
      <w:spacing w:before="120"/>
      <w:ind w:firstLine="709"/>
      <w:jc w:val="both"/>
    </w:pPr>
    <w:rPr>
      <w:sz w:val="22"/>
    </w:rPr>
  </w:style>
  <w:style w:type="paragraph" w:customStyle="1" w:styleId="Captulo">
    <w:name w:val="Capítulo"/>
    <w:basedOn w:val="Normal"/>
    <w:next w:val="Corpodetexto"/>
    <w:rsid w:val="008D16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sid w:val="008D16D4"/>
    <w:rPr>
      <w:rFonts w:cs="Tahoma"/>
    </w:rPr>
  </w:style>
  <w:style w:type="paragraph" w:styleId="Cabealho">
    <w:name w:val="header"/>
    <w:basedOn w:val="Normal"/>
    <w:semiHidden/>
    <w:rsid w:val="008D16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D16D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qFormat/>
    <w:rsid w:val="008D16D4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  <w:rsid w:val="008D16D4"/>
  </w:style>
  <w:style w:type="paragraph" w:customStyle="1" w:styleId="ndice">
    <w:name w:val="Índice"/>
    <w:basedOn w:val="Normal"/>
    <w:rsid w:val="008D16D4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8D16D4"/>
    <w:pPr>
      <w:suppressLineNumbers/>
    </w:pPr>
  </w:style>
  <w:style w:type="paragraph" w:styleId="Recuodecorpodetexto2">
    <w:name w:val="Body Text Indent 2"/>
    <w:basedOn w:val="Normal"/>
    <w:semiHidden/>
    <w:rsid w:val="008D16D4"/>
    <w:pPr>
      <w:suppressAutoHyphens w:val="0"/>
      <w:spacing w:before="120"/>
      <w:ind w:firstLine="709"/>
      <w:jc w:val="both"/>
    </w:pPr>
    <w:rPr>
      <w:lang w:eastAsia="pt-BR"/>
    </w:rPr>
  </w:style>
  <w:style w:type="paragraph" w:styleId="Corpodetexto2">
    <w:name w:val="Body Text 2"/>
    <w:basedOn w:val="Normal"/>
    <w:semiHidden/>
    <w:rsid w:val="008D16D4"/>
    <w:pPr>
      <w:jc w:val="both"/>
    </w:pPr>
  </w:style>
  <w:style w:type="paragraph" w:styleId="Recuodecorpodetexto3">
    <w:name w:val="Body Text Indent 3"/>
    <w:basedOn w:val="Normal"/>
    <w:semiHidden/>
    <w:rsid w:val="008D16D4"/>
    <w:pPr>
      <w:ind w:left="2552"/>
      <w:jc w:val="both"/>
    </w:pPr>
    <w:rPr>
      <w:sz w:val="20"/>
    </w:rPr>
  </w:style>
  <w:style w:type="character" w:styleId="HiperlinkVisitado">
    <w:name w:val="FollowedHyperlink"/>
    <w:basedOn w:val="Fontepargpadro"/>
    <w:semiHidden/>
    <w:rsid w:val="008D16D4"/>
    <w:rPr>
      <w:color w:val="800080"/>
      <w:u w:val="single"/>
    </w:rPr>
  </w:style>
  <w:style w:type="paragraph" w:customStyle="1" w:styleId="xl26">
    <w:name w:val="xl26"/>
    <w:basedOn w:val="Normal"/>
    <w:rsid w:val="008D16D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8D16D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C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o@dp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</Company>
  <LinksUpToDate>false</LinksUpToDate>
  <CharactersWithSpaces>5907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mailto:romano@dp.ufg.br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Maurício</cp:lastModifiedBy>
  <cp:revision>2</cp:revision>
  <cp:lastPrinted>2016-06-06T13:50:00Z</cp:lastPrinted>
  <dcterms:created xsi:type="dcterms:W3CDTF">2017-02-14T15:00:00Z</dcterms:created>
  <dcterms:modified xsi:type="dcterms:W3CDTF">2017-02-14T15:00:00Z</dcterms:modified>
</cp:coreProperties>
</file>